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4BC6A" w14:textId="77777777" w:rsidR="004840BF" w:rsidRDefault="004840BF" w:rsidP="004840BF">
      <w:pPr>
        <w:pStyle w:val="Heading1"/>
        <w:keepLines w:val="0"/>
        <w:tabs>
          <w:tab w:val="num" w:pos="360"/>
        </w:tabs>
        <w:spacing w:before="240" w:after="60"/>
        <w:ind w:left="360" w:hanging="360"/>
        <w:rPr>
          <w:rFonts w:cs="Arial"/>
        </w:rPr>
      </w:pPr>
      <w:bookmarkStart w:id="0" w:name="_Toc376848296"/>
      <w:r>
        <w:rPr>
          <w:rFonts w:cs="Arial"/>
        </w:rPr>
        <w:t>Costs</w:t>
      </w:r>
      <w:bookmarkEnd w:id="0"/>
    </w:p>
    <w:p w14:paraId="22BD3980" w14:textId="77777777" w:rsidR="004840BF" w:rsidRPr="00F859F1" w:rsidRDefault="004840BF" w:rsidP="004840BF">
      <w:pPr>
        <w:pStyle w:val="Heading2"/>
        <w:keepLines w:val="0"/>
        <w:numPr>
          <w:ilvl w:val="1"/>
          <w:numId w:val="0"/>
        </w:numPr>
        <w:tabs>
          <w:tab w:val="num" w:pos="936"/>
        </w:tabs>
        <w:spacing w:before="240" w:after="60"/>
        <w:ind w:left="936" w:hanging="576"/>
        <w:rPr>
          <w:rFonts w:cs="Arial"/>
        </w:rPr>
      </w:pPr>
      <w:bookmarkStart w:id="1" w:name="_Toc376848297"/>
      <w:r w:rsidRPr="00F859F1">
        <w:rPr>
          <w:rFonts w:cs="Arial"/>
        </w:rPr>
        <w:t>Cost Information Submission</w:t>
      </w:r>
      <w:bookmarkEnd w:id="1"/>
      <w:r w:rsidRPr="00F859F1">
        <w:rPr>
          <w:rFonts w:cs="Arial"/>
        </w:rPr>
        <w:t xml:space="preserve"> </w:t>
      </w:r>
    </w:p>
    <w:p w14:paraId="5053BB3E" w14:textId="77777777" w:rsidR="004840BF" w:rsidRPr="005723B4" w:rsidRDefault="004840BF" w:rsidP="004840BF">
      <w:pPr>
        <w:ind w:left="990"/>
        <w:rPr>
          <w:rFonts w:cs="Arial"/>
        </w:rPr>
      </w:pPr>
      <w:r w:rsidRPr="005723B4">
        <w:rPr>
          <w:rFonts w:cs="Arial"/>
        </w:rPr>
        <w:t xml:space="preserve">Vendors </w:t>
      </w:r>
      <w:r w:rsidRPr="00F859F1">
        <w:rPr>
          <w:rFonts w:cs="Arial"/>
        </w:rPr>
        <w:t>must</w:t>
      </w:r>
      <w:r w:rsidRPr="005723B4">
        <w:rPr>
          <w:rFonts w:cs="Arial"/>
        </w:rPr>
        <w:t xml:space="preserve">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 in this section may result in the Vendor providing those products or services at no charge to the University or </w:t>
      </w:r>
      <w:proofErr w:type="gramStart"/>
      <w:r w:rsidRPr="005723B4">
        <w:rPr>
          <w:rFonts w:cs="Arial"/>
        </w:rPr>
        <w:t>face</w:t>
      </w:r>
      <w:proofErr w:type="gramEnd"/>
      <w:r w:rsidRPr="005723B4">
        <w:rPr>
          <w:rFonts w:cs="Arial"/>
        </w:rPr>
        <w:t xml:space="preserve"> rejection of proposal.</w:t>
      </w:r>
      <w:r>
        <w:rPr>
          <w:rFonts w:cs="Arial"/>
        </w:rPr>
        <w:t xml:space="preserve">  If your response to this RFP does not include an item listed below in the </w:t>
      </w:r>
      <w:proofErr w:type="gramStart"/>
      <w:r>
        <w:rPr>
          <w:rFonts w:cs="Arial"/>
        </w:rPr>
        <w:t>far left</w:t>
      </w:r>
      <w:proofErr w:type="gramEnd"/>
      <w:r>
        <w:rPr>
          <w:rFonts w:cs="Arial"/>
        </w:rPr>
        <w:t xml:space="preserve"> column, “Not Included” may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E0" w:firstRow="1" w:lastRow="1" w:firstColumn="1" w:lastColumn="0" w:noHBand="1" w:noVBand="1"/>
      </w:tblPr>
      <w:tblGrid>
        <w:gridCol w:w="2474"/>
        <w:gridCol w:w="2240"/>
        <w:gridCol w:w="2284"/>
        <w:gridCol w:w="2352"/>
      </w:tblGrid>
      <w:tr w:rsidR="004840BF" w:rsidRPr="00B24F20" w14:paraId="16E0D12C" w14:textId="77777777" w:rsidTr="004B6DB0">
        <w:tc>
          <w:tcPr>
            <w:tcW w:w="2513" w:type="dxa"/>
            <w:shd w:val="clear" w:color="auto" w:fill="D9D9D9"/>
            <w:vAlign w:val="center"/>
          </w:tcPr>
          <w:p w14:paraId="374307E6" w14:textId="77777777" w:rsidR="004840BF" w:rsidRPr="005723B4" w:rsidRDefault="004840BF" w:rsidP="004B6DB0">
            <w:pPr>
              <w:jc w:val="center"/>
              <w:rPr>
                <w:rFonts w:cs="Arial"/>
              </w:rPr>
            </w:pPr>
            <w:r w:rsidRPr="005723B4">
              <w:rPr>
                <w:rFonts w:cs="Arial"/>
              </w:rPr>
              <w:t>Description</w:t>
            </w:r>
          </w:p>
        </w:tc>
        <w:tc>
          <w:tcPr>
            <w:tcW w:w="2309" w:type="dxa"/>
            <w:shd w:val="clear" w:color="auto" w:fill="D9D9D9"/>
            <w:vAlign w:val="center"/>
          </w:tcPr>
          <w:p w14:paraId="2192DC3F" w14:textId="77777777" w:rsidR="004840BF" w:rsidRPr="005723B4" w:rsidRDefault="004840BF" w:rsidP="004B6DB0">
            <w:pPr>
              <w:jc w:val="center"/>
              <w:rPr>
                <w:rFonts w:cs="Arial"/>
              </w:rPr>
            </w:pPr>
            <w:r w:rsidRPr="005723B4">
              <w:rPr>
                <w:rFonts w:cs="Arial"/>
              </w:rPr>
              <w:t>One-Time Cost</w:t>
            </w:r>
          </w:p>
        </w:tc>
        <w:tc>
          <w:tcPr>
            <w:tcW w:w="2347" w:type="dxa"/>
            <w:shd w:val="clear" w:color="auto" w:fill="D9D9D9"/>
            <w:vAlign w:val="center"/>
          </w:tcPr>
          <w:p w14:paraId="1A1820A0" w14:textId="77777777" w:rsidR="004840BF" w:rsidRPr="005723B4" w:rsidRDefault="004840BF" w:rsidP="004B6DB0">
            <w:pPr>
              <w:jc w:val="center"/>
              <w:rPr>
                <w:rFonts w:cs="Arial"/>
              </w:rPr>
            </w:pPr>
            <w:r>
              <w:rPr>
                <w:rFonts w:cs="Arial"/>
              </w:rPr>
              <w:t>Annual Cost (Years 1-4</w:t>
            </w:r>
            <w:r w:rsidRPr="005723B4">
              <w:rPr>
                <w:rFonts w:cs="Arial"/>
              </w:rPr>
              <w:t>)</w:t>
            </w:r>
          </w:p>
        </w:tc>
        <w:tc>
          <w:tcPr>
            <w:tcW w:w="2407" w:type="dxa"/>
            <w:shd w:val="clear" w:color="auto" w:fill="D9D9D9"/>
            <w:vAlign w:val="center"/>
          </w:tcPr>
          <w:p w14:paraId="2AA85565" w14:textId="77777777" w:rsidR="004840BF" w:rsidRPr="005723B4" w:rsidRDefault="004840BF" w:rsidP="004B6DB0">
            <w:pPr>
              <w:jc w:val="center"/>
              <w:rPr>
                <w:rFonts w:cs="Arial"/>
              </w:rPr>
            </w:pPr>
            <w:r w:rsidRPr="005723B4">
              <w:rPr>
                <w:rFonts w:cs="Arial"/>
              </w:rPr>
              <w:t>Maximum Annual Increase (%)</w:t>
            </w:r>
          </w:p>
        </w:tc>
      </w:tr>
      <w:tr w:rsidR="004840BF" w:rsidRPr="00B24F20" w14:paraId="1EBFCC5A" w14:textId="77777777" w:rsidTr="004B6DB0">
        <w:tc>
          <w:tcPr>
            <w:tcW w:w="2513" w:type="dxa"/>
            <w:shd w:val="clear" w:color="auto" w:fill="FFFFFF"/>
          </w:tcPr>
          <w:p w14:paraId="49C5316B" w14:textId="55B4A47E" w:rsidR="004840BF" w:rsidRPr="005723B4" w:rsidRDefault="004840BF" w:rsidP="004B6DB0">
            <w:pPr>
              <w:rPr>
                <w:rFonts w:cs="Arial"/>
              </w:rPr>
            </w:pPr>
            <w:r w:rsidRPr="005723B4">
              <w:rPr>
                <w:rFonts w:cs="Arial"/>
              </w:rPr>
              <w:t>Recommended application software, including all core modules</w:t>
            </w:r>
            <w:r w:rsidR="005C056A">
              <w:rPr>
                <w:rFonts w:cs="Arial"/>
              </w:rPr>
              <w:t xml:space="preserve"> to meet requirements detailed in </w:t>
            </w:r>
            <w:r w:rsidR="002B3EA2">
              <w:rPr>
                <w:rFonts w:cs="Arial"/>
              </w:rPr>
              <w:t>Appendix B</w:t>
            </w:r>
            <w:r w:rsidR="00E507FC">
              <w:rPr>
                <w:rFonts w:cs="Arial"/>
              </w:rPr>
              <w:t xml:space="preserve"> Work Order and Problem Management, Billing and Budgeting, Space Management, Asset Management, Warehouse Management, Self Service Management, and Service Catalog</w:t>
            </w:r>
            <w:r w:rsidR="00171156">
              <w:rPr>
                <w:rFonts w:cs="Arial"/>
              </w:rPr>
              <w:t xml:space="preserve"> and all pricing for</w:t>
            </w:r>
            <w:r w:rsidR="00FF3C15">
              <w:rPr>
                <w:rFonts w:cs="Arial"/>
              </w:rPr>
              <w:t xml:space="preserve"> requirement</w:t>
            </w:r>
            <w:r w:rsidR="00171156">
              <w:rPr>
                <w:rFonts w:cs="Arial"/>
              </w:rPr>
              <w:t xml:space="preserve"> items </w:t>
            </w:r>
            <w:r w:rsidR="00FF3C15">
              <w:rPr>
                <w:rFonts w:cs="Arial"/>
              </w:rPr>
              <w:t>126-191</w:t>
            </w:r>
          </w:p>
        </w:tc>
        <w:tc>
          <w:tcPr>
            <w:tcW w:w="2309" w:type="dxa"/>
          </w:tcPr>
          <w:p w14:paraId="2D05A4B2" w14:textId="77777777" w:rsidR="004840BF" w:rsidRPr="005723B4" w:rsidRDefault="004840BF" w:rsidP="004B6DB0">
            <w:pPr>
              <w:rPr>
                <w:rFonts w:cs="Arial"/>
              </w:rPr>
            </w:pPr>
          </w:p>
        </w:tc>
        <w:tc>
          <w:tcPr>
            <w:tcW w:w="2347" w:type="dxa"/>
          </w:tcPr>
          <w:p w14:paraId="4C8C1DCD" w14:textId="77777777" w:rsidR="004840BF" w:rsidRPr="005723B4" w:rsidRDefault="004840BF" w:rsidP="004B6DB0">
            <w:pPr>
              <w:rPr>
                <w:rFonts w:cs="Arial"/>
              </w:rPr>
            </w:pPr>
          </w:p>
        </w:tc>
        <w:tc>
          <w:tcPr>
            <w:tcW w:w="2407" w:type="dxa"/>
          </w:tcPr>
          <w:p w14:paraId="366012D8" w14:textId="77777777" w:rsidR="004840BF" w:rsidRPr="005723B4" w:rsidRDefault="004840BF" w:rsidP="004B6DB0">
            <w:pPr>
              <w:rPr>
                <w:rFonts w:cs="Arial"/>
              </w:rPr>
            </w:pPr>
          </w:p>
        </w:tc>
      </w:tr>
      <w:tr w:rsidR="004840BF" w:rsidRPr="00B24F20" w14:paraId="2DCDE19B" w14:textId="77777777" w:rsidTr="004B6DB0">
        <w:tc>
          <w:tcPr>
            <w:tcW w:w="2513" w:type="dxa"/>
            <w:shd w:val="clear" w:color="auto" w:fill="FFFFFF"/>
          </w:tcPr>
          <w:p w14:paraId="3F0F510B" w14:textId="13FDC703" w:rsidR="004840BF" w:rsidRPr="005723B4" w:rsidRDefault="00E507FC" w:rsidP="004B6DB0">
            <w:pPr>
              <w:rPr>
                <w:rFonts w:cs="Arial"/>
              </w:rPr>
            </w:pPr>
            <w:r>
              <w:rPr>
                <w:rFonts w:cs="Arial"/>
              </w:rPr>
              <w:t>Recommended application software</w:t>
            </w:r>
            <w:r w:rsidR="00BB7987">
              <w:rPr>
                <w:rFonts w:cs="Arial"/>
              </w:rPr>
              <w:t xml:space="preserve"> modules to meet requirements detailed in Appendix B Project Management</w:t>
            </w:r>
          </w:p>
        </w:tc>
        <w:tc>
          <w:tcPr>
            <w:tcW w:w="2309" w:type="dxa"/>
          </w:tcPr>
          <w:p w14:paraId="49A4DD40" w14:textId="77777777" w:rsidR="004840BF" w:rsidRPr="005723B4" w:rsidRDefault="004840BF" w:rsidP="004B6DB0">
            <w:pPr>
              <w:rPr>
                <w:rFonts w:cs="Arial"/>
              </w:rPr>
            </w:pPr>
          </w:p>
        </w:tc>
        <w:tc>
          <w:tcPr>
            <w:tcW w:w="2347" w:type="dxa"/>
          </w:tcPr>
          <w:p w14:paraId="54C8BA50" w14:textId="77777777" w:rsidR="004840BF" w:rsidRPr="005723B4" w:rsidRDefault="004840BF" w:rsidP="004B6DB0">
            <w:pPr>
              <w:rPr>
                <w:rFonts w:cs="Arial"/>
              </w:rPr>
            </w:pPr>
          </w:p>
        </w:tc>
        <w:tc>
          <w:tcPr>
            <w:tcW w:w="2407" w:type="dxa"/>
          </w:tcPr>
          <w:p w14:paraId="33A075A4" w14:textId="77777777" w:rsidR="004840BF" w:rsidRPr="005723B4" w:rsidRDefault="004840BF" w:rsidP="004B6DB0">
            <w:pPr>
              <w:rPr>
                <w:rFonts w:cs="Arial"/>
              </w:rPr>
            </w:pPr>
          </w:p>
        </w:tc>
      </w:tr>
      <w:tr w:rsidR="00BB7987" w:rsidRPr="00B24F20" w14:paraId="39CB1E74" w14:textId="77777777" w:rsidTr="004B6DB0">
        <w:tc>
          <w:tcPr>
            <w:tcW w:w="2513" w:type="dxa"/>
            <w:shd w:val="clear" w:color="auto" w:fill="FFFFFF"/>
          </w:tcPr>
          <w:p w14:paraId="662C41D3" w14:textId="1A72A99C" w:rsidR="00BB7987" w:rsidRDefault="00FB3DF5" w:rsidP="004B6DB0">
            <w:pPr>
              <w:rPr>
                <w:rFonts w:cs="Arial"/>
              </w:rPr>
            </w:pPr>
            <w:r w:rsidRPr="00FB3DF5">
              <w:rPr>
                <w:rFonts w:cs="Arial"/>
              </w:rPr>
              <w:t xml:space="preserve">Recommended application software modules to meet requirements detailed in Appendix B </w:t>
            </w:r>
            <w:r w:rsidR="006B0332">
              <w:rPr>
                <w:rFonts w:cs="Arial"/>
              </w:rPr>
              <w:t>Key and Lock Control</w:t>
            </w:r>
          </w:p>
        </w:tc>
        <w:tc>
          <w:tcPr>
            <w:tcW w:w="2309" w:type="dxa"/>
          </w:tcPr>
          <w:p w14:paraId="4AE635C9" w14:textId="77777777" w:rsidR="00BB7987" w:rsidRPr="005723B4" w:rsidRDefault="00BB7987" w:rsidP="004B6DB0">
            <w:pPr>
              <w:rPr>
                <w:rFonts w:cs="Arial"/>
              </w:rPr>
            </w:pPr>
          </w:p>
        </w:tc>
        <w:tc>
          <w:tcPr>
            <w:tcW w:w="2347" w:type="dxa"/>
          </w:tcPr>
          <w:p w14:paraId="7CAA3CB4" w14:textId="77777777" w:rsidR="00BB7987" w:rsidRPr="005723B4" w:rsidRDefault="00BB7987" w:rsidP="004B6DB0">
            <w:pPr>
              <w:rPr>
                <w:rFonts w:cs="Arial"/>
              </w:rPr>
            </w:pPr>
          </w:p>
        </w:tc>
        <w:tc>
          <w:tcPr>
            <w:tcW w:w="2407" w:type="dxa"/>
          </w:tcPr>
          <w:p w14:paraId="29E7B9AE" w14:textId="77777777" w:rsidR="00BB7987" w:rsidRPr="005723B4" w:rsidRDefault="00BB7987" w:rsidP="004B6DB0">
            <w:pPr>
              <w:rPr>
                <w:rFonts w:cs="Arial"/>
              </w:rPr>
            </w:pPr>
          </w:p>
        </w:tc>
      </w:tr>
      <w:tr w:rsidR="004840BF" w:rsidRPr="00B24F20" w14:paraId="5D721F34" w14:textId="77777777" w:rsidTr="004B6DB0">
        <w:tc>
          <w:tcPr>
            <w:tcW w:w="2513" w:type="dxa"/>
            <w:shd w:val="clear" w:color="auto" w:fill="FFFFFF"/>
          </w:tcPr>
          <w:p w14:paraId="4E54C6A8" w14:textId="77777777" w:rsidR="004840BF" w:rsidRPr="005723B4" w:rsidRDefault="004840BF" w:rsidP="004B6DB0">
            <w:pPr>
              <w:rPr>
                <w:rFonts w:cs="Arial"/>
              </w:rPr>
            </w:pPr>
            <w:r w:rsidRPr="005723B4">
              <w:rPr>
                <w:rFonts w:cs="Arial"/>
              </w:rPr>
              <w:t>Other required software (please itemize)</w:t>
            </w:r>
          </w:p>
        </w:tc>
        <w:tc>
          <w:tcPr>
            <w:tcW w:w="2309" w:type="dxa"/>
          </w:tcPr>
          <w:p w14:paraId="25560296" w14:textId="77777777" w:rsidR="004840BF" w:rsidRPr="005723B4" w:rsidRDefault="004840BF" w:rsidP="004B6DB0">
            <w:pPr>
              <w:rPr>
                <w:rFonts w:cs="Arial"/>
              </w:rPr>
            </w:pPr>
          </w:p>
          <w:p w14:paraId="6FADE904" w14:textId="77777777" w:rsidR="004840BF" w:rsidRPr="005723B4" w:rsidRDefault="004840BF" w:rsidP="004B6DB0">
            <w:pPr>
              <w:rPr>
                <w:rFonts w:cs="Arial"/>
              </w:rPr>
            </w:pPr>
          </w:p>
          <w:p w14:paraId="7DD124F4" w14:textId="77777777" w:rsidR="004840BF" w:rsidRPr="005723B4" w:rsidRDefault="004840BF" w:rsidP="004B6DB0">
            <w:pPr>
              <w:rPr>
                <w:rFonts w:cs="Arial"/>
              </w:rPr>
            </w:pPr>
          </w:p>
        </w:tc>
        <w:tc>
          <w:tcPr>
            <w:tcW w:w="2347" w:type="dxa"/>
          </w:tcPr>
          <w:p w14:paraId="5B83910F" w14:textId="77777777" w:rsidR="004840BF" w:rsidRPr="005723B4" w:rsidRDefault="004840BF" w:rsidP="004B6DB0">
            <w:pPr>
              <w:rPr>
                <w:rFonts w:cs="Arial"/>
              </w:rPr>
            </w:pPr>
          </w:p>
        </w:tc>
        <w:tc>
          <w:tcPr>
            <w:tcW w:w="2407" w:type="dxa"/>
          </w:tcPr>
          <w:p w14:paraId="6160E65B" w14:textId="77777777" w:rsidR="004840BF" w:rsidRPr="005723B4" w:rsidRDefault="004840BF" w:rsidP="004B6DB0">
            <w:pPr>
              <w:rPr>
                <w:rFonts w:cs="Arial"/>
              </w:rPr>
            </w:pPr>
          </w:p>
        </w:tc>
      </w:tr>
      <w:tr w:rsidR="004840BF" w:rsidRPr="00B24F20" w14:paraId="1285C796" w14:textId="77777777" w:rsidTr="004B6DB0">
        <w:tc>
          <w:tcPr>
            <w:tcW w:w="2513" w:type="dxa"/>
            <w:shd w:val="clear" w:color="auto" w:fill="FFFFFF"/>
          </w:tcPr>
          <w:p w14:paraId="7E23E82D" w14:textId="77777777" w:rsidR="004840BF" w:rsidRPr="005723B4" w:rsidRDefault="004840BF" w:rsidP="004B6DB0">
            <w:pPr>
              <w:rPr>
                <w:rFonts w:cs="Arial"/>
              </w:rPr>
            </w:pPr>
            <w:r>
              <w:rPr>
                <w:rFonts w:cs="Arial"/>
              </w:rPr>
              <w:t>Recommended hardware</w:t>
            </w:r>
          </w:p>
        </w:tc>
        <w:tc>
          <w:tcPr>
            <w:tcW w:w="2309" w:type="dxa"/>
          </w:tcPr>
          <w:p w14:paraId="428F01D4" w14:textId="77777777" w:rsidR="004840BF" w:rsidRPr="005723B4" w:rsidRDefault="004840BF" w:rsidP="004B6DB0">
            <w:pPr>
              <w:rPr>
                <w:rFonts w:cs="Arial"/>
              </w:rPr>
            </w:pPr>
          </w:p>
        </w:tc>
        <w:tc>
          <w:tcPr>
            <w:tcW w:w="2347" w:type="dxa"/>
          </w:tcPr>
          <w:p w14:paraId="0346090C" w14:textId="77777777" w:rsidR="004840BF" w:rsidRPr="005723B4" w:rsidRDefault="004840BF" w:rsidP="004B6DB0">
            <w:pPr>
              <w:rPr>
                <w:rFonts w:cs="Arial"/>
              </w:rPr>
            </w:pPr>
          </w:p>
        </w:tc>
        <w:tc>
          <w:tcPr>
            <w:tcW w:w="2407" w:type="dxa"/>
          </w:tcPr>
          <w:p w14:paraId="30D5BB78" w14:textId="77777777" w:rsidR="004840BF" w:rsidRPr="005723B4" w:rsidRDefault="004840BF" w:rsidP="004B6DB0">
            <w:pPr>
              <w:rPr>
                <w:rFonts w:cs="Arial"/>
              </w:rPr>
            </w:pPr>
          </w:p>
        </w:tc>
      </w:tr>
      <w:tr w:rsidR="004840BF" w:rsidRPr="00B24F20" w14:paraId="459273FD" w14:textId="77777777" w:rsidTr="004B6DB0">
        <w:tc>
          <w:tcPr>
            <w:tcW w:w="2513" w:type="dxa"/>
            <w:shd w:val="clear" w:color="auto" w:fill="FFFFFF"/>
          </w:tcPr>
          <w:p w14:paraId="31467992" w14:textId="77777777" w:rsidR="004840BF" w:rsidRPr="005723B4" w:rsidRDefault="004840BF" w:rsidP="004B6DB0">
            <w:pPr>
              <w:rPr>
                <w:rFonts w:cs="Arial"/>
              </w:rPr>
            </w:pPr>
            <w:r>
              <w:rPr>
                <w:rFonts w:cs="Arial"/>
              </w:rPr>
              <w:t>Additional hardware modules, please specify</w:t>
            </w:r>
          </w:p>
        </w:tc>
        <w:tc>
          <w:tcPr>
            <w:tcW w:w="2309" w:type="dxa"/>
          </w:tcPr>
          <w:p w14:paraId="77B292BA" w14:textId="77777777" w:rsidR="004840BF" w:rsidRPr="005723B4" w:rsidRDefault="004840BF" w:rsidP="004B6DB0">
            <w:pPr>
              <w:rPr>
                <w:rFonts w:cs="Arial"/>
              </w:rPr>
            </w:pPr>
          </w:p>
        </w:tc>
        <w:tc>
          <w:tcPr>
            <w:tcW w:w="2347" w:type="dxa"/>
          </w:tcPr>
          <w:p w14:paraId="18B3EEB8" w14:textId="77777777" w:rsidR="004840BF" w:rsidRPr="005723B4" w:rsidRDefault="004840BF" w:rsidP="004B6DB0">
            <w:pPr>
              <w:rPr>
                <w:rFonts w:cs="Arial"/>
              </w:rPr>
            </w:pPr>
          </w:p>
        </w:tc>
        <w:tc>
          <w:tcPr>
            <w:tcW w:w="2407" w:type="dxa"/>
          </w:tcPr>
          <w:p w14:paraId="49D9DA24" w14:textId="77777777" w:rsidR="004840BF" w:rsidRPr="005723B4" w:rsidRDefault="004840BF" w:rsidP="004B6DB0">
            <w:pPr>
              <w:rPr>
                <w:rFonts w:cs="Arial"/>
              </w:rPr>
            </w:pPr>
          </w:p>
        </w:tc>
      </w:tr>
      <w:tr w:rsidR="004840BF" w:rsidRPr="00B24F20" w14:paraId="53F5C9BA" w14:textId="77777777" w:rsidTr="004B6DB0">
        <w:tc>
          <w:tcPr>
            <w:tcW w:w="2513" w:type="dxa"/>
            <w:shd w:val="clear" w:color="auto" w:fill="FFFFFF"/>
          </w:tcPr>
          <w:p w14:paraId="1E7893BE" w14:textId="77777777" w:rsidR="004840BF" w:rsidRPr="005723B4" w:rsidRDefault="004840BF" w:rsidP="004B6DB0">
            <w:pPr>
              <w:rPr>
                <w:rFonts w:cs="Arial"/>
              </w:rPr>
            </w:pPr>
            <w:r>
              <w:rPr>
                <w:rFonts w:cs="Arial"/>
              </w:rPr>
              <w:lastRenderedPageBreak/>
              <w:t>Other required hard</w:t>
            </w:r>
            <w:r w:rsidRPr="005723B4">
              <w:rPr>
                <w:rFonts w:cs="Arial"/>
              </w:rPr>
              <w:t>ware (please itemize)</w:t>
            </w:r>
          </w:p>
        </w:tc>
        <w:tc>
          <w:tcPr>
            <w:tcW w:w="2309" w:type="dxa"/>
          </w:tcPr>
          <w:p w14:paraId="12C8A9E8" w14:textId="77777777" w:rsidR="004840BF" w:rsidRPr="005723B4" w:rsidRDefault="004840BF" w:rsidP="004B6DB0">
            <w:pPr>
              <w:rPr>
                <w:rFonts w:cs="Arial"/>
              </w:rPr>
            </w:pPr>
          </w:p>
        </w:tc>
        <w:tc>
          <w:tcPr>
            <w:tcW w:w="2347" w:type="dxa"/>
          </w:tcPr>
          <w:p w14:paraId="372AE081" w14:textId="77777777" w:rsidR="004840BF" w:rsidRPr="005723B4" w:rsidRDefault="004840BF" w:rsidP="004B6DB0">
            <w:pPr>
              <w:rPr>
                <w:rFonts w:cs="Arial"/>
              </w:rPr>
            </w:pPr>
          </w:p>
        </w:tc>
        <w:tc>
          <w:tcPr>
            <w:tcW w:w="2407" w:type="dxa"/>
          </w:tcPr>
          <w:p w14:paraId="02F389B0" w14:textId="77777777" w:rsidR="004840BF" w:rsidRPr="005723B4" w:rsidRDefault="004840BF" w:rsidP="004B6DB0">
            <w:pPr>
              <w:rPr>
                <w:rFonts w:cs="Arial"/>
              </w:rPr>
            </w:pPr>
          </w:p>
        </w:tc>
      </w:tr>
      <w:tr w:rsidR="004840BF" w:rsidRPr="00B24F20" w14:paraId="1E243806" w14:textId="77777777" w:rsidTr="004B6DB0">
        <w:tc>
          <w:tcPr>
            <w:tcW w:w="2513" w:type="dxa"/>
            <w:shd w:val="clear" w:color="auto" w:fill="FFFFFF"/>
          </w:tcPr>
          <w:p w14:paraId="1748C588" w14:textId="77777777" w:rsidR="004840BF" w:rsidRPr="005723B4" w:rsidRDefault="004840BF" w:rsidP="004B6DB0">
            <w:pPr>
              <w:rPr>
                <w:rFonts w:cs="Arial"/>
              </w:rPr>
            </w:pPr>
            <w:r w:rsidRPr="005723B4">
              <w:rPr>
                <w:rFonts w:cs="Arial"/>
              </w:rPr>
              <w:t>Setup fees</w:t>
            </w:r>
          </w:p>
          <w:p w14:paraId="5DCEBE88" w14:textId="77777777" w:rsidR="004840BF" w:rsidRPr="005723B4" w:rsidRDefault="004840BF" w:rsidP="004B6DB0">
            <w:pPr>
              <w:rPr>
                <w:rFonts w:cs="Arial"/>
              </w:rPr>
            </w:pPr>
          </w:p>
        </w:tc>
        <w:tc>
          <w:tcPr>
            <w:tcW w:w="2309" w:type="dxa"/>
          </w:tcPr>
          <w:p w14:paraId="5F705639" w14:textId="77777777" w:rsidR="004840BF" w:rsidRPr="005723B4" w:rsidRDefault="004840BF" w:rsidP="004B6DB0">
            <w:pPr>
              <w:rPr>
                <w:rFonts w:cs="Arial"/>
              </w:rPr>
            </w:pPr>
          </w:p>
          <w:p w14:paraId="73A8BB58" w14:textId="77777777" w:rsidR="004840BF" w:rsidRPr="005723B4" w:rsidRDefault="004840BF" w:rsidP="004B6DB0">
            <w:pPr>
              <w:rPr>
                <w:rFonts w:cs="Arial"/>
              </w:rPr>
            </w:pPr>
          </w:p>
          <w:p w14:paraId="2B281BBA" w14:textId="77777777" w:rsidR="004840BF" w:rsidRPr="005723B4" w:rsidRDefault="004840BF" w:rsidP="004B6DB0">
            <w:pPr>
              <w:rPr>
                <w:rFonts w:cs="Arial"/>
              </w:rPr>
            </w:pPr>
          </w:p>
        </w:tc>
        <w:tc>
          <w:tcPr>
            <w:tcW w:w="2347" w:type="dxa"/>
          </w:tcPr>
          <w:p w14:paraId="3CBC72AE" w14:textId="77777777" w:rsidR="004840BF" w:rsidRPr="005723B4" w:rsidRDefault="004840BF" w:rsidP="004B6DB0">
            <w:pPr>
              <w:rPr>
                <w:rFonts w:cs="Arial"/>
              </w:rPr>
            </w:pPr>
          </w:p>
        </w:tc>
        <w:tc>
          <w:tcPr>
            <w:tcW w:w="2407" w:type="dxa"/>
          </w:tcPr>
          <w:p w14:paraId="24885B53" w14:textId="77777777" w:rsidR="004840BF" w:rsidRPr="005723B4" w:rsidRDefault="004840BF" w:rsidP="004B6DB0">
            <w:pPr>
              <w:rPr>
                <w:rFonts w:cs="Arial"/>
              </w:rPr>
            </w:pPr>
          </w:p>
        </w:tc>
      </w:tr>
      <w:tr w:rsidR="004840BF" w:rsidRPr="00B24F20" w14:paraId="4FF8BB74" w14:textId="77777777" w:rsidTr="004B6DB0">
        <w:tc>
          <w:tcPr>
            <w:tcW w:w="2513" w:type="dxa"/>
            <w:shd w:val="clear" w:color="auto" w:fill="FFFFFF"/>
          </w:tcPr>
          <w:p w14:paraId="6E8612D9" w14:textId="77777777" w:rsidR="004840BF" w:rsidRPr="005723B4" w:rsidRDefault="004840BF" w:rsidP="004B6DB0">
            <w:pPr>
              <w:rPr>
                <w:rFonts w:cs="Arial"/>
              </w:rPr>
            </w:pPr>
            <w:r w:rsidRPr="005723B4">
              <w:rPr>
                <w:rFonts w:cs="Arial"/>
              </w:rPr>
              <w:t>Warranties</w:t>
            </w:r>
          </w:p>
          <w:p w14:paraId="288DF26A" w14:textId="77777777" w:rsidR="004840BF" w:rsidRPr="005723B4" w:rsidRDefault="004840BF" w:rsidP="004B6DB0">
            <w:pPr>
              <w:rPr>
                <w:rFonts w:cs="Arial"/>
              </w:rPr>
            </w:pPr>
          </w:p>
        </w:tc>
        <w:tc>
          <w:tcPr>
            <w:tcW w:w="2309" w:type="dxa"/>
          </w:tcPr>
          <w:p w14:paraId="68998F6B" w14:textId="77777777" w:rsidR="004840BF" w:rsidRPr="005723B4" w:rsidRDefault="004840BF" w:rsidP="004B6DB0">
            <w:pPr>
              <w:rPr>
                <w:rFonts w:cs="Arial"/>
              </w:rPr>
            </w:pPr>
          </w:p>
          <w:p w14:paraId="661FDD93" w14:textId="77777777" w:rsidR="004840BF" w:rsidRPr="005723B4" w:rsidRDefault="004840BF" w:rsidP="004B6DB0">
            <w:pPr>
              <w:rPr>
                <w:rFonts w:cs="Arial"/>
              </w:rPr>
            </w:pPr>
          </w:p>
          <w:p w14:paraId="6F844B35" w14:textId="77777777" w:rsidR="004840BF" w:rsidRPr="005723B4" w:rsidRDefault="004840BF" w:rsidP="004B6DB0">
            <w:pPr>
              <w:rPr>
                <w:rFonts w:cs="Arial"/>
              </w:rPr>
            </w:pPr>
          </w:p>
        </w:tc>
        <w:tc>
          <w:tcPr>
            <w:tcW w:w="2347" w:type="dxa"/>
          </w:tcPr>
          <w:p w14:paraId="4146254B" w14:textId="77777777" w:rsidR="004840BF" w:rsidRPr="005723B4" w:rsidRDefault="004840BF" w:rsidP="004B6DB0">
            <w:pPr>
              <w:rPr>
                <w:rFonts w:cs="Arial"/>
              </w:rPr>
            </w:pPr>
          </w:p>
        </w:tc>
        <w:tc>
          <w:tcPr>
            <w:tcW w:w="2407" w:type="dxa"/>
          </w:tcPr>
          <w:p w14:paraId="3B117D99" w14:textId="77777777" w:rsidR="004840BF" w:rsidRPr="005723B4" w:rsidRDefault="004840BF" w:rsidP="004B6DB0">
            <w:pPr>
              <w:rPr>
                <w:rFonts w:cs="Arial"/>
              </w:rPr>
            </w:pPr>
          </w:p>
          <w:p w14:paraId="290C17C5" w14:textId="77777777" w:rsidR="004840BF" w:rsidRPr="005723B4" w:rsidRDefault="004840BF" w:rsidP="004B6DB0">
            <w:pPr>
              <w:rPr>
                <w:rFonts w:cs="Arial"/>
              </w:rPr>
            </w:pPr>
          </w:p>
        </w:tc>
      </w:tr>
      <w:tr w:rsidR="004840BF" w:rsidRPr="00B24F20" w14:paraId="51FC5100" w14:textId="77777777" w:rsidTr="004B6DB0">
        <w:tc>
          <w:tcPr>
            <w:tcW w:w="2513" w:type="dxa"/>
            <w:shd w:val="clear" w:color="auto" w:fill="FFFFFF"/>
          </w:tcPr>
          <w:p w14:paraId="143C37A5" w14:textId="77777777" w:rsidR="004840BF" w:rsidRPr="005723B4" w:rsidRDefault="004840BF" w:rsidP="004B6DB0">
            <w:pPr>
              <w:rPr>
                <w:rFonts w:cs="Arial"/>
              </w:rPr>
            </w:pPr>
            <w:r w:rsidRPr="005723B4">
              <w:rPr>
                <w:rFonts w:cs="Arial"/>
              </w:rPr>
              <w:t>Maintenance</w:t>
            </w:r>
          </w:p>
          <w:p w14:paraId="652F7AFF" w14:textId="77777777" w:rsidR="004840BF" w:rsidRPr="005723B4" w:rsidRDefault="004840BF" w:rsidP="004B6DB0">
            <w:pPr>
              <w:rPr>
                <w:rFonts w:cs="Arial"/>
              </w:rPr>
            </w:pPr>
          </w:p>
        </w:tc>
        <w:tc>
          <w:tcPr>
            <w:tcW w:w="2309" w:type="dxa"/>
          </w:tcPr>
          <w:p w14:paraId="698E8278" w14:textId="77777777" w:rsidR="004840BF" w:rsidRPr="005723B4" w:rsidRDefault="004840BF" w:rsidP="004B6DB0">
            <w:pPr>
              <w:rPr>
                <w:rFonts w:cs="Arial"/>
              </w:rPr>
            </w:pPr>
          </w:p>
          <w:p w14:paraId="1B301CC6" w14:textId="77777777" w:rsidR="004840BF" w:rsidRPr="005723B4" w:rsidRDefault="004840BF" w:rsidP="004B6DB0">
            <w:pPr>
              <w:rPr>
                <w:rFonts w:cs="Arial"/>
              </w:rPr>
            </w:pPr>
          </w:p>
          <w:p w14:paraId="1FCC8FFA" w14:textId="77777777" w:rsidR="004840BF" w:rsidRPr="005723B4" w:rsidRDefault="004840BF" w:rsidP="004B6DB0">
            <w:pPr>
              <w:rPr>
                <w:rFonts w:cs="Arial"/>
              </w:rPr>
            </w:pPr>
          </w:p>
        </w:tc>
        <w:tc>
          <w:tcPr>
            <w:tcW w:w="2347" w:type="dxa"/>
          </w:tcPr>
          <w:p w14:paraId="05BC3E91" w14:textId="77777777" w:rsidR="004840BF" w:rsidRPr="005723B4" w:rsidRDefault="004840BF" w:rsidP="004B6DB0">
            <w:pPr>
              <w:rPr>
                <w:rFonts w:cs="Arial"/>
              </w:rPr>
            </w:pPr>
          </w:p>
        </w:tc>
        <w:tc>
          <w:tcPr>
            <w:tcW w:w="2407" w:type="dxa"/>
          </w:tcPr>
          <w:p w14:paraId="21B904DD" w14:textId="77777777" w:rsidR="004840BF" w:rsidRPr="005723B4" w:rsidRDefault="004840BF" w:rsidP="004B6DB0">
            <w:pPr>
              <w:rPr>
                <w:rFonts w:cs="Arial"/>
              </w:rPr>
            </w:pPr>
          </w:p>
        </w:tc>
      </w:tr>
      <w:tr w:rsidR="004840BF" w:rsidRPr="00B24F20" w14:paraId="0B710647" w14:textId="77777777" w:rsidTr="004B6DB0">
        <w:tc>
          <w:tcPr>
            <w:tcW w:w="2513" w:type="dxa"/>
            <w:tcBorders>
              <w:left w:val="nil"/>
              <w:bottom w:val="nil"/>
              <w:right w:val="single" w:sz="8" w:space="0" w:color="000000"/>
            </w:tcBorders>
            <w:shd w:val="clear" w:color="auto" w:fill="FFFFFF"/>
            <w:vAlign w:val="center"/>
          </w:tcPr>
          <w:p w14:paraId="57BC481D" w14:textId="77777777" w:rsidR="004840BF" w:rsidRPr="005723B4" w:rsidRDefault="004840BF" w:rsidP="004B6DB0">
            <w:pPr>
              <w:jc w:val="center"/>
              <w:rPr>
                <w:rFonts w:cs="Arial"/>
              </w:rPr>
            </w:pPr>
          </w:p>
          <w:p w14:paraId="6D275594" w14:textId="77777777" w:rsidR="004840BF" w:rsidRPr="005723B4" w:rsidRDefault="004840BF" w:rsidP="004B6DB0">
            <w:pPr>
              <w:jc w:val="center"/>
              <w:rPr>
                <w:rFonts w:cs="Arial"/>
              </w:rPr>
            </w:pPr>
            <w:r w:rsidRPr="005723B4">
              <w:rPr>
                <w:rFonts w:cs="Arial"/>
              </w:rPr>
              <w:t>Total</w:t>
            </w:r>
          </w:p>
          <w:p w14:paraId="190AEED4" w14:textId="77777777" w:rsidR="004840BF" w:rsidRPr="005723B4" w:rsidRDefault="004840BF" w:rsidP="004B6DB0">
            <w:pPr>
              <w:jc w:val="center"/>
              <w:rPr>
                <w:rFonts w:cs="Arial"/>
              </w:rPr>
            </w:pPr>
          </w:p>
        </w:tc>
        <w:tc>
          <w:tcPr>
            <w:tcW w:w="2309" w:type="dxa"/>
            <w:shd w:val="clear" w:color="auto" w:fill="D9D9D9"/>
          </w:tcPr>
          <w:p w14:paraId="5378E965" w14:textId="77777777" w:rsidR="004840BF" w:rsidRPr="005723B4" w:rsidRDefault="004840BF" w:rsidP="004B6DB0">
            <w:pPr>
              <w:rPr>
                <w:rFonts w:cs="Arial"/>
              </w:rPr>
            </w:pPr>
          </w:p>
        </w:tc>
        <w:tc>
          <w:tcPr>
            <w:tcW w:w="2347" w:type="dxa"/>
            <w:shd w:val="clear" w:color="auto" w:fill="D9D9D9"/>
          </w:tcPr>
          <w:p w14:paraId="609EB23D" w14:textId="77777777" w:rsidR="004840BF" w:rsidRPr="005723B4" w:rsidRDefault="004840BF" w:rsidP="004B6DB0">
            <w:pPr>
              <w:rPr>
                <w:rFonts w:cs="Arial"/>
              </w:rPr>
            </w:pPr>
          </w:p>
        </w:tc>
        <w:tc>
          <w:tcPr>
            <w:tcW w:w="2407" w:type="dxa"/>
            <w:shd w:val="clear" w:color="auto" w:fill="D9D9D9"/>
          </w:tcPr>
          <w:p w14:paraId="4328B33D" w14:textId="77777777" w:rsidR="004840BF" w:rsidRPr="005723B4" w:rsidRDefault="004840BF" w:rsidP="004B6DB0">
            <w:pPr>
              <w:rPr>
                <w:rFonts w:cs="Arial"/>
              </w:rPr>
            </w:pPr>
          </w:p>
        </w:tc>
      </w:tr>
    </w:tbl>
    <w:p w14:paraId="0A0A807A" w14:textId="77777777" w:rsidR="004840BF" w:rsidRPr="00DC57F0" w:rsidRDefault="004840BF" w:rsidP="004840BF">
      <w:pPr>
        <w:ind w:left="720"/>
        <w:rPr>
          <w:highlight w:val="yellow"/>
        </w:rPr>
      </w:pPr>
    </w:p>
    <w:p w14:paraId="4FEF8204" w14:textId="77777777" w:rsidR="004840BF" w:rsidRPr="00223616" w:rsidRDefault="004840BF" w:rsidP="004840BF">
      <w:pPr>
        <w:pStyle w:val="BodyTextIndent2"/>
        <w:ind w:left="990"/>
        <w:rPr>
          <w:rFonts w:cs="Arial"/>
        </w:rPr>
      </w:pPr>
      <w:r w:rsidRPr="00223616">
        <w:rPr>
          <w:rFonts w:cs="Arial"/>
        </w:rPr>
        <w:t xml:space="preserve">The proposal costs must be annualized to include </w:t>
      </w:r>
      <w:proofErr w:type="gramStart"/>
      <w:r w:rsidRPr="00223616">
        <w:rPr>
          <w:rFonts w:cs="Arial"/>
        </w:rPr>
        <w:t>a detailed</w:t>
      </w:r>
      <w:proofErr w:type="gramEnd"/>
      <w:r w:rsidRPr="00223616">
        <w:rPr>
          <w:rFonts w:cs="Arial"/>
        </w:rPr>
        <w:t xml:space="preserve"> itemization for all hardware by quantity and item, implementation/consulting services/personnel fees by resource type and number of hours, software by license, maintenance by item and term, permits by type, content by source, and any other items necessary for the service.  The total of the itemized list must equal the total costs in the proposal. </w:t>
      </w:r>
    </w:p>
    <w:p w14:paraId="325BA80C" w14:textId="77777777" w:rsidR="004840BF" w:rsidRPr="00223616" w:rsidRDefault="004840BF" w:rsidP="004840BF">
      <w:pPr>
        <w:pStyle w:val="BodyTextIndent2"/>
        <w:ind w:left="990"/>
        <w:rPr>
          <w:rFonts w:cs="Arial"/>
        </w:rPr>
      </w:pPr>
      <w:r w:rsidRPr="00223616">
        <w:rPr>
          <w:rFonts w:cs="Arial"/>
        </w:rPr>
        <w:t>The University is to be billed in one annual installment.</w:t>
      </w:r>
    </w:p>
    <w:p w14:paraId="014AB0FA" w14:textId="77777777" w:rsidR="004840BF" w:rsidRPr="0032576A" w:rsidRDefault="004840BF" w:rsidP="004840BF">
      <w:pPr>
        <w:pStyle w:val="BodyTextIndent2"/>
        <w:ind w:left="990"/>
        <w:rPr>
          <w:rFonts w:cs="Arial"/>
          <w:b/>
        </w:rPr>
      </w:pPr>
      <w:r w:rsidRPr="00223616">
        <w:rPr>
          <w:rFonts w:cs="Arial"/>
        </w:rPr>
        <w:t xml:space="preserve">Travel expenses must not be billed separately.  </w:t>
      </w:r>
      <w:proofErr w:type="gramStart"/>
      <w:r w:rsidRPr="00223616">
        <w:rPr>
          <w:rFonts w:cs="Arial"/>
        </w:rPr>
        <w:t>Proposal</w:t>
      </w:r>
      <w:proofErr w:type="gramEnd"/>
      <w:r w:rsidRPr="00223616">
        <w:rPr>
          <w:rFonts w:cs="Arial"/>
        </w:rPr>
        <w:t xml:space="preserve"> must </w:t>
      </w:r>
      <w:proofErr w:type="gramStart"/>
      <w:r w:rsidRPr="00223616">
        <w:rPr>
          <w:rFonts w:cs="Arial"/>
        </w:rPr>
        <w:t>take into account</w:t>
      </w:r>
      <w:proofErr w:type="gramEnd"/>
      <w:r w:rsidRPr="00223616">
        <w:rPr>
          <w:rFonts w:cs="Arial"/>
        </w:rPr>
        <w:t xml:space="preserve"> the cost of any travel expenses.</w:t>
      </w:r>
    </w:p>
    <w:p w14:paraId="24CD616F" w14:textId="77777777" w:rsidR="001B3771" w:rsidRDefault="001B3771"/>
    <w:p w14:paraId="2CCAA3AF" w14:textId="77777777" w:rsidR="00C76EF9" w:rsidRDefault="00C76EF9" w:rsidP="00C76EF9">
      <w:pPr>
        <w:pStyle w:val="Heading2"/>
        <w:rPr>
          <w:rFonts w:cs="Arial"/>
        </w:rPr>
      </w:pPr>
      <w:bookmarkStart w:id="2" w:name="_Toc376848298"/>
      <w:r>
        <w:rPr>
          <w:rFonts w:cs="Arial"/>
        </w:rPr>
        <w:t>No Unspecified Costs</w:t>
      </w:r>
      <w:bookmarkEnd w:id="2"/>
    </w:p>
    <w:p w14:paraId="74F62F10" w14:textId="77777777" w:rsidR="00C76EF9" w:rsidRDefault="00C76EF9" w:rsidP="00C76EF9">
      <w:pPr>
        <w:pStyle w:val="BodyTextIndent2"/>
        <w:ind w:left="990"/>
        <w:rPr>
          <w:rFonts w:cs="Arial"/>
        </w:rPr>
      </w:pPr>
      <w:r>
        <w:rPr>
          <w:rFonts w:cs="Arial"/>
        </w:rPr>
        <w:t>Only items included in the itemized list will be considered part of the proposal and only those items will be included in any payments to the contractor.</w:t>
      </w:r>
    </w:p>
    <w:p w14:paraId="23786563" w14:textId="77777777" w:rsidR="00C76EF9" w:rsidRDefault="00C76EF9" w:rsidP="00C76EF9">
      <w:pPr>
        <w:pStyle w:val="BodyTextIndent2"/>
        <w:ind w:left="990"/>
        <w:rPr>
          <w:rFonts w:cs="Arial"/>
        </w:rPr>
      </w:pPr>
      <w:r w:rsidRPr="00A85B1E">
        <w:rPr>
          <w:rFonts w:cs="Arial"/>
        </w:rPr>
        <w:t>If any component(s) necessary for operation of the requested system is</w:t>
      </w:r>
      <w:r>
        <w:rPr>
          <w:rFonts w:cs="Arial"/>
        </w:rPr>
        <w:t xml:space="preserve"> </w:t>
      </w:r>
      <w:r w:rsidRPr="00A85B1E">
        <w:rPr>
          <w:rFonts w:cs="Arial"/>
        </w:rPr>
        <w:t xml:space="preserve">omitted from Vendor’s proposal, </w:t>
      </w:r>
      <w:r>
        <w:rPr>
          <w:rFonts w:cs="Arial"/>
        </w:rPr>
        <w:t xml:space="preserve">the </w:t>
      </w:r>
      <w:r w:rsidRPr="00A85B1E">
        <w:rPr>
          <w:rFonts w:cs="Arial"/>
        </w:rPr>
        <w:t>Vendor must be willing to provide the</w:t>
      </w:r>
      <w:r>
        <w:rPr>
          <w:rFonts w:cs="Arial"/>
        </w:rPr>
        <w:t xml:space="preserve"> </w:t>
      </w:r>
      <w:r w:rsidRPr="00A85B1E">
        <w:rPr>
          <w:rFonts w:cs="Arial"/>
        </w:rPr>
        <w:t>component(s) at no additional cost</w:t>
      </w:r>
      <w:r>
        <w:rPr>
          <w:rFonts w:cs="Arial"/>
        </w:rPr>
        <w:t xml:space="preserve"> and included at the price in this RFP response. </w:t>
      </w:r>
      <w:r w:rsidRPr="00A85B1E">
        <w:rPr>
          <w:rFonts w:cs="Arial"/>
        </w:rPr>
        <w:t>This includes, but is not limited to, all</w:t>
      </w:r>
      <w:r>
        <w:rPr>
          <w:rFonts w:cs="Arial"/>
        </w:rPr>
        <w:t xml:space="preserve"> </w:t>
      </w:r>
      <w:r w:rsidRPr="00A85B1E">
        <w:rPr>
          <w:rFonts w:cs="Arial"/>
        </w:rPr>
        <w:t>cabling, connectors, raceway, etc. necessary to render the configuration fully</w:t>
      </w:r>
      <w:r>
        <w:rPr>
          <w:rFonts w:cs="Arial"/>
        </w:rPr>
        <w:t xml:space="preserve"> operational.</w:t>
      </w:r>
    </w:p>
    <w:p w14:paraId="5CD64215" w14:textId="77777777" w:rsidR="00C76EF9" w:rsidRDefault="00C76EF9" w:rsidP="00C76EF9">
      <w:pPr>
        <w:pStyle w:val="Heading2"/>
      </w:pPr>
      <w:bookmarkStart w:id="3" w:name="_Toc376848299"/>
      <w:r>
        <w:t>Price Changes during Award or Renewal Period</w:t>
      </w:r>
      <w:bookmarkEnd w:id="3"/>
    </w:p>
    <w:p w14:paraId="22B20589" w14:textId="77777777" w:rsidR="00C76EF9" w:rsidRPr="00D32485" w:rsidRDefault="00C76EF9" w:rsidP="00C76EF9">
      <w:pPr>
        <w:pStyle w:val="Heading2"/>
        <w:ind w:left="990"/>
        <w:rPr>
          <w:rFonts w:cs="Arial"/>
          <w:b/>
          <w:i/>
          <w:sz w:val="20"/>
        </w:rPr>
      </w:pPr>
      <w:bookmarkStart w:id="4" w:name="_Toc376848300"/>
      <w:r w:rsidRPr="00D32485">
        <w:rPr>
          <w:rFonts w:cs="Arial"/>
          <w:sz w:val="20"/>
        </w:rPr>
        <w:t>A price increase will not be accepted during the award period or the renewal period,</w:t>
      </w:r>
      <w:r>
        <w:rPr>
          <w:rFonts w:cs="Arial"/>
          <w:sz w:val="20"/>
        </w:rPr>
        <w:t xml:space="preserve"> </w:t>
      </w:r>
      <w:r w:rsidRPr="00D32485">
        <w:rPr>
          <w:rFonts w:cs="Arial"/>
          <w:sz w:val="20"/>
        </w:rPr>
        <w:t xml:space="preserve">unless stipulated in the contract. However, the </w:t>
      </w:r>
      <w:r>
        <w:rPr>
          <w:rFonts w:cs="Arial"/>
          <w:sz w:val="20"/>
        </w:rPr>
        <w:t>University</w:t>
      </w:r>
      <w:r w:rsidRPr="00D32485">
        <w:rPr>
          <w:rFonts w:cs="Arial"/>
          <w:sz w:val="20"/>
        </w:rPr>
        <w:t xml:space="preserve"> will always take advantage of price</w:t>
      </w:r>
      <w:r>
        <w:rPr>
          <w:rFonts w:cs="Arial"/>
          <w:sz w:val="20"/>
        </w:rPr>
        <w:t xml:space="preserve"> </w:t>
      </w:r>
      <w:r w:rsidRPr="00D32485">
        <w:rPr>
          <w:rFonts w:cs="Arial"/>
          <w:sz w:val="20"/>
        </w:rPr>
        <w:t>decreases.</w:t>
      </w:r>
      <w:bookmarkEnd w:id="4"/>
    </w:p>
    <w:p w14:paraId="228B0D72" w14:textId="77777777" w:rsidR="00C76EF9" w:rsidRPr="00223616" w:rsidRDefault="00C76EF9" w:rsidP="00C76EF9">
      <w:pPr>
        <w:pStyle w:val="Heading2"/>
      </w:pPr>
      <w:bookmarkStart w:id="5" w:name="_Toc376848301"/>
      <w:r w:rsidRPr="00223616">
        <w:t>Expiration of Costs Proposed</w:t>
      </w:r>
      <w:bookmarkEnd w:id="5"/>
    </w:p>
    <w:p w14:paraId="4B8F9C7D" w14:textId="77777777" w:rsidR="00C76EF9" w:rsidRPr="00971069" w:rsidRDefault="00C76EF9" w:rsidP="00C76EF9">
      <w:pPr>
        <w:ind w:left="990"/>
        <w:rPr>
          <w:rFonts w:cs="Arial"/>
        </w:rPr>
      </w:pPr>
      <w:r w:rsidRPr="00971069">
        <w:rPr>
          <w:rFonts w:cs="Arial"/>
        </w:rPr>
        <w:t xml:space="preserve">The proposal response price </w:t>
      </w:r>
      <w:r>
        <w:rPr>
          <w:rFonts w:cs="Arial"/>
        </w:rPr>
        <w:t>must</w:t>
      </w:r>
      <w:r w:rsidRPr="00971069">
        <w:rPr>
          <w:rFonts w:cs="Arial"/>
        </w:rPr>
        <w:t xml:space="preserve"> be guaranteed for a minimum of </w:t>
      </w:r>
      <w:r>
        <w:rPr>
          <w:rFonts w:cs="Arial"/>
        </w:rPr>
        <w:t>one-hundred twenty (120)</w:t>
      </w:r>
      <w:r w:rsidRPr="00971069">
        <w:rPr>
          <w:rFonts w:cs="Arial"/>
        </w:rPr>
        <w:t xml:space="preserve"> days from </w:t>
      </w:r>
      <w:proofErr w:type="gramStart"/>
      <w:r w:rsidRPr="00971069">
        <w:rPr>
          <w:rFonts w:cs="Arial"/>
        </w:rPr>
        <w:t>bid</w:t>
      </w:r>
      <w:proofErr w:type="gramEnd"/>
      <w:r w:rsidRPr="00971069">
        <w:rPr>
          <w:rFonts w:cs="Arial"/>
        </w:rPr>
        <w:t xml:space="preserve"> opening date. </w:t>
      </w:r>
    </w:p>
    <w:p w14:paraId="5F734B96" w14:textId="77777777" w:rsidR="00C76EF9" w:rsidRDefault="00C76EF9" w:rsidP="00C76EF9">
      <w:pPr>
        <w:ind w:left="990"/>
        <w:rPr>
          <w:rFonts w:cs="Arial"/>
        </w:rPr>
      </w:pPr>
      <w:r w:rsidRPr="00971069">
        <w:rPr>
          <w:rFonts w:cs="Arial"/>
        </w:rPr>
        <w:t xml:space="preserve">The </w:t>
      </w:r>
      <w:r>
        <w:rPr>
          <w:rFonts w:cs="Arial"/>
        </w:rPr>
        <w:t>University</w:t>
      </w:r>
      <w:r w:rsidRPr="00971069">
        <w:rPr>
          <w:rFonts w:cs="Arial"/>
        </w:rPr>
        <w:t xml:space="preserve"> reserves the right to renew this contract with the winning </w:t>
      </w:r>
      <w:r>
        <w:rPr>
          <w:rFonts w:cs="Arial"/>
        </w:rPr>
        <w:t>vendor</w:t>
      </w:r>
      <w:r w:rsidRPr="00971069">
        <w:rPr>
          <w:rFonts w:cs="Arial"/>
        </w:rPr>
        <w:t xml:space="preserve"> on an annual basis.  The </w:t>
      </w:r>
      <w:proofErr w:type="gramStart"/>
      <w:r w:rsidRPr="00971069">
        <w:rPr>
          <w:rFonts w:cs="Arial"/>
        </w:rPr>
        <w:t>proposal response</w:t>
      </w:r>
      <w:proofErr w:type="gramEnd"/>
      <w:r w:rsidRPr="00971069">
        <w:rPr>
          <w:rFonts w:cs="Arial"/>
        </w:rPr>
        <w:t xml:space="preserve"> must include</w:t>
      </w:r>
      <w:r>
        <w:rPr>
          <w:rFonts w:cs="Arial"/>
        </w:rPr>
        <w:t xml:space="preserve"> guaranteed</w:t>
      </w:r>
      <w:r w:rsidRPr="00971069">
        <w:rPr>
          <w:rFonts w:cs="Arial"/>
        </w:rPr>
        <w:t xml:space="preserve"> prices for annual renewals up to </w:t>
      </w:r>
      <w:r>
        <w:rPr>
          <w:rFonts w:cs="Arial"/>
        </w:rPr>
        <w:t xml:space="preserve">four </w:t>
      </w:r>
      <w:r w:rsidRPr="00971069">
        <w:rPr>
          <w:rFonts w:cs="Arial"/>
        </w:rPr>
        <w:t>(</w:t>
      </w:r>
      <w:r>
        <w:rPr>
          <w:rFonts w:cs="Arial"/>
        </w:rPr>
        <w:t>4</w:t>
      </w:r>
      <w:r w:rsidRPr="00971069">
        <w:rPr>
          <w:rFonts w:cs="Arial"/>
        </w:rPr>
        <w:t>) years.</w:t>
      </w:r>
      <w:r>
        <w:rPr>
          <w:rFonts w:cs="Arial"/>
        </w:rPr>
        <w:t xml:space="preserve">  The prices may be fixed or based on a maximum percentage increase.</w:t>
      </w:r>
    </w:p>
    <w:sectPr w:rsidR="00C76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0BF"/>
    <w:rsid w:val="00063E28"/>
    <w:rsid w:val="00171156"/>
    <w:rsid w:val="001B3771"/>
    <w:rsid w:val="00223616"/>
    <w:rsid w:val="00251034"/>
    <w:rsid w:val="002B3EA2"/>
    <w:rsid w:val="002E29D6"/>
    <w:rsid w:val="003A1DF6"/>
    <w:rsid w:val="004840BF"/>
    <w:rsid w:val="005C056A"/>
    <w:rsid w:val="006B0332"/>
    <w:rsid w:val="007D6F5D"/>
    <w:rsid w:val="008650A2"/>
    <w:rsid w:val="00A96260"/>
    <w:rsid w:val="00BB7987"/>
    <w:rsid w:val="00C71E3E"/>
    <w:rsid w:val="00C76EF9"/>
    <w:rsid w:val="00E507FC"/>
    <w:rsid w:val="00F859F1"/>
    <w:rsid w:val="00FB3DF5"/>
    <w:rsid w:val="00FF3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E427"/>
  <w15:chartTrackingRefBased/>
  <w15:docId w15:val="{72CA76EA-37C9-4A27-A73C-9D1E726D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0BF"/>
    <w:pPr>
      <w:spacing w:after="120" w:line="240" w:lineRule="auto"/>
    </w:pPr>
    <w:rPr>
      <w:rFonts w:ascii="Arial" w:eastAsia="Times New Roman" w:hAnsi="Arial" w:cs="Times New Roman"/>
      <w:kern w:val="0"/>
      <w:sz w:val="20"/>
      <w:szCs w:val="20"/>
      <w14:ligatures w14:val="none"/>
    </w:rPr>
  </w:style>
  <w:style w:type="paragraph" w:styleId="Heading1">
    <w:name w:val="heading 1"/>
    <w:basedOn w:val="Normal"/>
    <w:next w:val="Normal"/>
    <w:link w:val="Heading1Char"/>
    <w:uiPriority w:val="9"/>
    <w:qFormat/>
    <w:rsid w:val="004840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40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840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40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40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40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40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40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40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0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40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40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40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40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40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40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40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40BF"/>
    <w:rPr>
      <w:rFonts w:eastAsiaTheme="majorEastAsia" w:cstheme="majorBidi"/>
      <w:color w:val="272727" w:themeColor="text1" w:themeTint="D8"/>
    </w:rPr>
  </w:style>
  <w:style w:type="paragraph" w:styleId="Title">
    <w:name w:val="Title"/>
    <w:basedOn w:val="Normal"/>
    <w:next w:val="Normal"/>
    <w:link w:val="TitleChar"/>
    <w:uiPriority w:val="10"/>
    <w:qFormat/>
    <w:rsid w:val="004840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0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0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40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40BF"/>
    <w:pPr>
      <w:spacing w:before="160"/>
      <w:jc w:val="center"/>
    </w:pPr>
    <w:rPr>
      <w:i/>
      <w:iCs/>
      <w:color w:val="404040" w:themeColor="text1" w:themeTint="BF"/>
    </w:rPr>
  </w:style>
  <w:style w:type="character" w:customStyle="1" w:styleId="QuoteChar">
    <w:name w:val="Quote Char"/>
    <w:basedOn w:val="DefaultParagraphFont"/>
    <w:link w:val="Quote"/>
    <w:uiPriority w:val="29"/>
    <w:rsid w:val="004840BF"/>
    <w:rPr>
      <w:i/>
      <w:iCs/>
      <w:color w:val="404040" w:themeColor="text1" w:themeTint="BF"/>
    </w:rPr>
  </w:style>
  <w:style w:type="paragraph" w:styleId="ListParagraph">
    <w:name w:val="List Paragraph"/>
    <w:basedOn w:val="Normal"/>
    <w:uiPriority w:val="34"/>
    <w:qFormat/>
    <w:rsid w:val="004840BF"/>
    <w:pPr>
      <w:ind w:left="720"/>
      <w:contextualSpacing/>
    </w:pPr>
  </w:style>
  <w:style w:type="character" w:styleId="IntenseEmphasis">
    <w:name w:val="Intense Emphasis"/>
    <w:basedOn w:val="DefaultParagraphFont"/>
    <w:uiPriority w:val="21"/>
    <w:qFormat/>
    <w:rsid w:val="004840BF"/>
    <w:rPr>
      <w:i/>
      <w:iCs/>
      <w:color w:val="0F4761" w:themeColor="accent1" w:themeShade="BF"/>
    </w:rPr>
  </w:style>
  <w:style w:type="paragraph" w:styleId="IntenseQuote">
    <w:name w:val="Intense Quote"/>
    <w:basedOn w:val="Normal"/>
    <w:next w:val="Normal"/>
    <w:link w:val="IntenseQuoteChar"/>
    <w:uiPriority w:val="30"/>
    <w:qFormat/>
    <w:rsid w:val="004840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40BF"/>
    <w:rPr>
      <w:i/>
      <w:iCs/>
      <w:color w:val="0F4761" w:themeColor="accent1" w:themeShade="BF"/>
    </w:rPr>
  </w:style>
  <w:style w:type="character" w:styleId="IntenseReference">
    <w:name w:val="Intense Reference"/>
    <w:basedOn w:val="DefaultParagraphFont"/>
    <w:uiPriority w:val="32"/>
    <w:qFormat/>
    <w:rsid w:val="004840BF"/>
    <w:rPr>
      <w:b/>
      <w:bCs/>
      <w:smallCaps/>
      <w:color w:val="0F4761" w:themeColor="accent1" w:themeShade="BF"/>
      <w:spacing w:val="5"/>
    </w:rPr>
  </w:style>
  <w:style w:type="paragraph" w:styleId="BodyTextIndent2">
    <w:name w:val="Body Text Indent 2"/>
    <w:basedOn w:val="Normal"/>
    <w:link w:val="BodyTextIndent2Char"/>
    <w:rsid w:val="004840BF"/>
    <w:pPr>
      <w:ind w:left="720"/>
    </w:pPr>
  </w:style>
  <w:style w:type="character" w:customStyle="1" w:styleId="BodyTextIndent2Char">
    <w:name w:val="Body Text Indent 2 Char"/>
    <w:basedOn w:val="DefaultParagraphFont"/>
    <w:link w:val="BodyTextIndent2"/>
    <w:rsid w:val="004840BF"/>
    <w:rPr>
      <w:rFonts w:ascii="Arial" w:eastAsia="Times New Roman" w:hAnsi="Arial"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Brayfield</dc:creator>
  <cp:keywords/>
  <dc:description/>
  <cp:lastModifiedBy>Lucas Applewhite</cp:lastModifiedBy>
  <cp:revision>13</cp:revision>
  <dcterms:created xsi:type="dcterms:W3CDTF">2025-02-14T22:02:00Z</dcterms:created>
  <dcterms:modified xsi:type="dcterms:W3CDTF">2025-02-14T22:29:00Z</dcterms:modified>
</cp:coreProperties>
</file>